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D9" w:rsidRDefault="007F558D" w:rsidP="001C0343">
      <w:pPr>
        <w:ind w:right="-277"/>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0C82835E" wp14:editId="05F66D37">
            <wp:extent cx="6858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PLoan_ProspectingLetter_FR.png"/>
                    <pic:cNvPicPr/>
                  </pic:nvPicPr>
                  <pic:blipFill>
                    <a:blip r:embed="rId7">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rsidR="00166FD9" w:rsidRDefault="00166FD9" w:rsidP="001C0343">
      <w:pPr>
        <w:ind w:right="-277"/>
        <w:rPr>
          <w:rFonts w:asciiTheme="majorHAnsi" w:hAnsiTheme="majorHAnsi" w:cstheme="majorHAnsi"/>
          <w:sz w:val="20"/>
          <w:szCs w:val="20"/>
        </w:rPr>
      </w:pPr>
    </w:p>
    <w:p w:rsidR="005158CA" w:rsidRPr="000F016F" w:rsidRDefault="005158CA" w:rsidP="005158CA">
      <w:pPr>
        <w:ind w:right="-277"/>
        <w:rPr>
          <w:rFonts w:asciiTheme="majorHAnsi" w:hAnsiTheme="majorHAnsi" w:cstheme="majorHAnsi"/>
          <w:sz w:val="20"/>
          <w:szCs w:val="20"/>
          <w:lang w:val="fr-CA"/>
        </w:rPr>
      </w:pPr>
      <w:r w:rsidRPr="000F016F">
        <w:rPr>
          <w:rFonts w:ascii="Arial" w:hAnsi="Arial" w:cs="Arial"/>
          <w:sz w:val="20"/>
          <w:szCs w:val="20"/>
          <w:lang w:val="fr-CA"/>
        </w:rPr>
        <w:t>Avez-vous considéré les avantages de cotiser à votre épargne-retraite à l’aide d’un prêt REE? Peu importe quel type d’épargnant vous êtes, un prêt REE peut vous aider à faire en sorte que vous profitiez des avantages d’investir dans un REER à impôt différé.</w:t>
      </w:r>
    </w:p>
    <w:p w:rsidR="00304D18" w:rsidRPr="005158CA" w:rsidRDefault="00304D18" w:rsidP="00304D18">
      <w:pPr>
        <w:ind w:right="-277"/>
        <w:rPr>
          <w:rFonts w:asciiTheme="majorHAnsi" w:hAnsiTheme="majorHAnsi" w:cstheme="majorHAnsi"/>
          <w:b/>
          <w:color w:val="17365D"/>
          <w:sz w:val="20"/>
          <w:szCs w:val="20"/>
          <w:lang w:val="fr-CA"/>
        </w:rPr>
      </w:pPr>
    </w:p>
    <w:p w:rsidR="00846EA6" w:rsidRPr="005158CA" w:rsidRDefault="005158CA" w:rsidP="00846EA6">
      <w:pPr>
        <w:ind w:right="-277"/>
        <w:rPr>
          <w:rFonts w:asciiTheme="majorHAnsi" w:hAnsiTheme="majorHAnsi" w:cstheme="majorHAnsi"/>
          <w:b/>
          <w:color w:val="004070"/>
          <w:sz w:val="20"/>
          <w:szCs w:val="20"/>
          <w:lang w:val="fr-CA"/>
        </w:rPr>
      </w:pPr>
      <w:r w:rsidRPr="005158CA">
        <w:rPr>
          <w:rFonts w:asciiTheme="majorHAnsi" w:hAnsiTheme="majorHAnsi" w:cstheme="majorHAnsi"/>
          <w:b/>
          <w:color w:val="004070"/>
          <w:sz w:val="20"/>
          <w:szCs w:val="20"/>
          <w:lang w:val="fr-CA"/>
        </w:rPr>
        <w:t>Quel type d’épargnant êtes-vous?</w:t>
      </w:r>
    </w:p>
    <w:tbl>
      <w:tblPr>
        <w:tblStyle w:val="TableGrid"/>
        <w:tblW w:w="10890" w:type="dxa"/>
        <w:tblLook w:val="04A0" w:firstRow="1" w:lastRow="0" w:firstColumn="1" w:lastColumn="0" w:noHBand="0" w:noVBand="1"/>
      </w:tblPr>
      <w:tblGrid>
        <w:gridCol w:w="3510"/>
        <w:gridCol w:w="3690"/>
        <w:gridCol w:w="3690"/>
      </w:tblGrid>
      <w:tr w:rsidR="00846EA6" w:rsidTr="00DB7E90">
        <w:tc>
          <w:tcPr>
            <w:tcW w:w="3510" w:type="dxa"/>
            <w:tcBorders>
              <w:top w:val="nil"/>
              <w:left w:val="nil"/>
              <w:bottom w:val="single" w:sz="12" w:space="0" w:color="FDB812"/>
              <w:right w:val="nil"/>
            </w:tcBorders>
          </w:tcPr>
          <w:p w:rsidR="00846EA6" w:rsidRPr="00467F0E" w:rsidRDefault="001D4597" w:rsidP="0033448F">
            <w:pPr>
              <w:spacing w:before="120" w:after="60"/>
              <w:ind w:right="-277"/>
              <w:rPr>
                <w:rFonts w:asciiTheme="majorHAnsi" w:hAnsiTheme="majorHAnsi" w:cstheme="majorHAnsi"/>
                <w:b/>
                <w:color w:val="004070"/>
                <w:sz w:val="18"/>
                <w:szCs w:val="18"/>
              </w:rPr>
            </w:pPr>
            <w:r w:rsidRPr="001D4597">
              <w:rPr>
                <w:rFonts w:asciiTheme="majorHAnsi" w:hAnsiTheme="majorHAnsi" w:cstheme="majorHAnsi"/>
                <w:b/>
                <w:color w:val="808080" w:themeColor="background1" w:themeShade="80"/>
                <w:sz w:val="18"/>
                <w:szCs w:val="18"/>
              </w:rPr>
              <w:t>Votre type d’épargnant :</w:t>
            </w:r>
          </w:p>
        </w:tc>
        <w:tc>
          <w:tcPr>
            <w:tcW w:w="3690" w:type="dxa"/>
            <w:tcBorders>
              <w:top w:val="nil"/>
              <w:left w:val="nil"/>
              <w:bottom w:val="single" w:sz="12" w:space="0" w:color="FDB812"/>
              <w:right w:val="nil"/>
            </w:tcBorders>
          </w:tcPr>
          <w:p w:rsidR="00846EA6" w:rsidRPr="00166FC4" w:rsidRDefault="00846EA6" w:rsidP="0033448F">
            <w:pPr>
              <w:ind w:right="-277"/>
              <w:jc w:val="center"/>
              <w:rPr>
                <w:rFonts w:asciiTheme="majorHAnsi" w:hAnsiTheme="majorHAnsi" w:cstheme="majorHAnsi"/>
                <w:b/>
                <w:color w:val="004070"/>
                <w:sz w:val="20"/>
                <w:szCs w:val="20"/>
              </w:rPr>
            </w:pPr>
          </w:p>
        </w:tc>
        <w:tc>
          <w:tcPr>
            <w:tcW w:w="3690" w:type="dxa"/>
            <w:tcBorders>
              <w:top w:val="nil"/>
              <w:left w:val="nil"/>
              <w:bottom w:val="single" w:sz="12" w:space="0" w:color="FDB812"/>
              <w:right w:val="nil"/>
            </w:tcBorders>
          </w:tcPr>
          <w:p w:rsidR="00846EA6" w:rsidRPr="00166FC4" w:rsidRDefault="00846EA6" w:rsidP="0033448F">
            <w:pPr>
              <w:ind w:right="-277"/>
              <w:jc w:val="center"/>
              <w:rPr>
                <w:rFonts w:asciiTheme="majorHAnsi" w:hAnsiTheme="majorHAnsi" w:cstheme="majorHAnsi"/>
                <w:b/>
                <w:color w:val="004070"/>
                <w:sz w:val="20"/>
                <w:szCs w:val="20"/>
              </w:rPr>
            </w:pPr>
          </w:p>
        </w:tc>
      </w:tr>
      <w:tr w:rsidR="00846EA6" w:rsidTr="00DB7E90">
        <w:tc>
          <w:tcPr>
            <w:tcW w:w="351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5158CA" w:rsidP="0033448F">
            <w:pPr>
              <w:ind w:right="-277"/>
              <w:jc w:val="center"/>
              <w:rPr>
                <w:rFonts w:asciiTheme="majorHAnsi" w:hAnsiTheme="majorHAnsi" w:cstheme="majorHAnsi"/>
                <w:b/>
                <w:color w:val="004070"/>
                <w:sz w:val="20"/>
                <w:szCs w:val="20"/>
              </w:rPr>
            </w:pPr>
            <w:r w:rsidRPr="005158CA">
              <w:rPr>
                <w:rFonts w:asciiTheme="majorHAnsi" w:hAnsiTheme="majorHAnsi" w:cstheme="majorHAnsi"/>
                <w:b/>
                <w:color w:val="004070"/>
                <w:sz w:val="20"/>
                <w:szCs w:val="20"/>
              </w:rPr>
              <w:t>Débutant</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5158CA" w:rsidP="0033448F">
            <w:pPr>
              <w:ind w:right="-277"/>
              <w:jc w:val="center"/>
              <w:rPr>
                <w:rFonts w:asciiTheme="majorHAnsi" w:hAnsiTheme="majorHAnsi" w:cstheme="majorHAnsi"/>
                <w:b/>
                <w:color w:val="004070"/>
                <w:sz w:val="20"/>
                <w:szCs w:val="20"/>
              </w:rPr>
            </w:pPr>
            <w:r w:rsidRPr="005158CA">
              <w:rPr>
                <w:rFonts w:asciiTheme="majorHAnsi" w:hAnsiTheme="majorHAnsi" w:cstheme="majorHAnsi"/>
                <w:b/>
                <w:color w:val="004070"/>
                <w:sz w:val="20"/>
                <w:szCs w:val="20"/>
              </w:rPr>
              <w:t>Opportuniste</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5158CA" w:rsidP="0033448F">
            <w:pPr>
              <w:ind w:right="-277"/>
              <w:jc w:val="center"/>
              <w:rPr>
                <w:rFonts w:asciiTheme="majorHAnsi" w:hAnsiTheme="majorHAnsi" w:cstheme="majorHAnsi"/>
                <w:b/>
                <w:color w:val="004070"/>
                <w:sz w:val="20"/>
                <w:szCs w:val="20"/>
              </w:rPr>
            </w:pPr>
            <w:r w:rsidRPr="005158CA">
              <w:rPr>
                <w:rFonts w:asciiTheme="majorHAnsi" w:hAnsiTheme="majorHAnsi" w:cstheme="majorHAnsi"/>
                <w:b/>
                <w:color w:val="004070"/>
                <w:sz w:val="20"/>
                <w:szCs w:val="20"/>
              </w:rPr>
              <w:t>Procrastinateur</w:t>
            </w:r>
          </w:p>
        </w:tc>
      </w:tr>
      <w:tr w:rsidR="00846EA6" w:rsidRPr="00467F0E" w:rsidTr="00DB7E90">
        <w:tc>
          <w:tcPr>
            <w:tcW w:w="10890" w:type="dxa"/>
            <w:gridSpan w:val="3"/>
            <w:tcBorders>
              <w:top w:val="single" w:sz="8" w:space="0" w:color="808080" w:themeColor="background1" w:themeShade="80"/>
              <w:left w:val="nil"/>
              <w:bottom w:val="single" w:sz="12" w:space="0" w:color="FDB812"/>
              <w:right w:val="nil"/>
            </w:tcBorders>
            <w:shd w:val="clear" w:color="auto" w:fill="auto"/>
          </w:tcPr>
          <w:p w:rsidR="00846EA6" w:rsidRPr="00467F0E" w:rsidRDefault="005158CA" w:rsidP="0033448F">
            <w:pPr>
              <w:spacing w:before="60" w:after="60"/>
              <w:ind w:right="-277"/>
              <w:rPr>
                <w:rFonts w:asciiTheme="majorHAnsi" w:hAnsiTheme="majorHAnsi" w:cstheme="majorHAnsi"/>
                <w:b/>
                <w:sz w:val="18"/>
                <w:szCs w:val="18"/>
              </w:rPr>
            </w:pPr>
            <w:r w:rsidRPr="005158CA">
              <w:rPr>
                <w:rFonts w:asciiTheme="majorHAnsi" w:hAnsiTheme="majorHAnsi" w:cstheme="majorHAnsi"/>
                <w:b/>
                <w:color w:val="808080" w:themeColor="background1" w:themeShade="80"/>
                <w:sz w:val="18"/>
                <w:szCs w:val="18"/>
              </w:rPr>
              <w:t>Objectifs d’épargne :</w:t>
            </w:r>
          </w:p>
        </w:tc>
      </w:tr>
      <w:tr w:rsidR="00846EA6" w:rsidRPr="001C42D1" w:rsidTr="00DB7E90">
        <w:tc>
          <w:tcPr>
            <w:tcW w:w="351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9"/>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Commencer à épargner</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pour la retraite</w:t>
            </w:r>
            <w:r w:rsidRPr="005158CA">
              <w:rPr>
                <w:rFonts w:asciiTheme="majorHAnsi" w:hAnsiTheme="majorHAnsi" w:cstheme="majorHAnsi"/>
                <w:color w:val="808080" w:themeColor="background1" w:themeShade="80"/>
                <w:sz w:val="20"/>
                <w:szCs w:val="20"/>
                <w:lang w:val="fr-CA"/>
              </w:rPr>
              <w:t xml:space="preserve"> </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0"/>
              </w:numPr>
              <w:ind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lang w:val="fr-CA"/>
              </w:rPr>
              <w:t xml:space="preserve">Compléter l’épargne-retraite provenant des régimes de retraite, </w:t>
            </w:r>
            <w:r w:rsidR="00DB7E90">
              <w:rPr>
                <w:rFonts w:asciiTheme="majorHAnsi" w:hAnsiTheme="majorHAnsi" w:cstheme="majorHAnsi"/>
                <w:color w:val="808080" w:themeColor="background1" w:themeShade="80"/>
                <w:sz w:val="20"/>
                <w:szCs w:val="20"/>
                <w:lang w:val="fr-CA"/>
              </w:rPr>
              <w:br/>
            </w:r>
            <w:r w:rsidRPr="005158CA">
              <w:rPr>
                <w:rFonts w:asciiTheme="majorHAnsi" w:hAnsiTheme="majorHAnsi" w:cstheme="majorHAnsi"/>
                <w:color w:val="808080" w:themeColor="background1" w:themeShade="80"/>
                <w:sz w:val="20"/>
                <w:szCs w:val="20"/>
                <w:lang w:val="fr-CA"/>
              </w:rPr>
              <w:t xml:space="preserve">de la SV et du SRG </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DB7E90" w:rsidRDefault="005158CA" w:rsidP="001C42D1">
            <w:pPr>
              <w:pStyle w:val="ListParagraph"/>
              <w:numPr>
                <w:ilvl w:val="0"/>
                <w:numId w:val="11"/>
              </w:numPr>
              <w:ind w:right="-277"/>
              <w:rPr>
                <w:rFonts w:asciiTheme="majorHAnsi" w:hAnsiTheme="majorHAnsi" w:cstheme="majorHAnsi"/>
                <w:color w:val="808080" w:themeColor="background1" w:themeShade="80"/>
                <w:sz w:val="20"/>
                <w:szCs w:val="20"/>
                <w:lang w:val="fr-CA"/>
              </w:rPr>
            </w:pPr>
            <w:r w:rsidRPr="00DB7E90">
              <w:rPr>
                <w:rFonts w:asciiTheme="majorHAnsi" w:hAnsiTheme="majorHAnsi" w:cstheme="majorHAnsi"/>
                <w:color w:val="808080" w:themeColor="background1" w:themeShade="80"/>
                <w:sz w:val="20"/>
                <w:szCs w:val="20"/>
                <w:lang w:val="fr-CA"/>
              </w:rPr>
              <w:t xml:space="preserve">Profiter des droits de </w:t>
            </w:r>
            <w:r w:rsidRPr="005158CA">
              <w:rPr>
                <w:rFonts w:asciiTheme="majorHAnsi" w:hAnsiTheme="majorHAnsi" w:cstheme="majorHAnsi"/>
                <w:color w:val="808080" w:themeColor="background1" w:themeShade="80"/>
                <w:sz w:val="20"/>
                <w:szCs w:val="20"/>
                <w:lang w:val="fr-CA"/>
              </w:rPr>
              <w:t xml:space="preserve">cotisation non utilisés pour accélérer l’épargne à </w:t>
            </w:r>
            <w:r w:rsidRPr="00DB7E90">
              <w:rPr>
                <w:rFonts w:asciiTheme="majorHAnsi" w:hAnsiTheme="majorHAnsi" w:cstheme="majorHAnsi"/>
                <w:color w:val="808080" w:themeColor="background1" w:themeShade="80"/>
                <w:sz w:val="20"/>
                <w:szCs w:val="20"/>
                <w:lang w:val="fr-CA"/>
              </w:rPr>
              <w:t>imposition différée</w:t>
            </w:r>
          </w:p>
        </w:tc>
      </w:tr>
      <w:tr w:rsidR="00846EA6" w:rsidRPr="00DB7E90" w:rsidTr="00DB7E90">
        <w:tc>
          <w:tcPr>
            <w:tcW w:w="10890" w:type="dxa"/>
            <w:gridSpan w:val="3"/>
            <w:tcBorders>
              <w:top w:val="nil"/>
              <w:left w:val="nil"/>
              <w:bottom w:val="single" w:sz="12" w:space="0" w:color="FDB812"/>
              <w:right w:val="nil"/>
            </w:tcBorders>
            <w:shd w:val="clear" w:color="auto" w:fill="auto"/>
          </w:tcPr>
          <w:p w:rsidR="00846EA6" w:rsidRPr="00DB7E90" w:rsidRDefault="005158CA" w:rsidP="0033448F">
            <w:pPr>
              <w:spacing w:before="60" w:after="60"/>
              <w:ind w:right="-277"/>
              <w:rPr>
                <w:rFonts w:asciiTheme="majorHAnsi" w:hAnsiTheme="majorHAnsi" w:cstheme="majorHAnsi"/>
                <w:b/>
                <w:sz w:val="18"/>
                <w:szCs w:val="18"/>
                <w:lang w:val="fr-CA"/>
              </w:rPr>
            </w:pPr>
            <w:r w:rsidRPr="00DB7E90">
              <w:rPr>
                <w:rFonts w:asciiTheme="majorHAnsi" w:hAnsiTheme="majorHAnsi" w:cstheme="majorHAnsi"/>
                <w:b/>
                <w:color w:val="808080" w:themeColor="background1" w:themeShade="80"/>
                <w:sz w:val="18"/>
                <w:szCs w:val="18"/>
                <w:lang w:val="fr-CA"/>
              </w:rPr>
              <w:t xml:space="preserve">Votre situation financière :  </w:t>
            </w:r>
          </w:p>
        </w:tc>
      </w:tr>
      <w:tr w:rsidR="00846EA6" w:rsidTr="00DB7E90">
        <w:tc>
          <w:tcPr>
            <w:tcW w:w="351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2"/>
              </w:numPr>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Se constituer une épargne</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4"/>
              </w:numPr>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Revenu maximal ou stable</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Actifs limités</w:t>
            </w:r>
          </w:p>
        </w:tc>
      </w:tr>
      <w:tr w:rsidR="00846EA6" w:rsidRPr="005158CA" w:rsidTr="00DB7E90">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2"/>
              </w:numPr>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En début de carrière</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4"/>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Actifs établis</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 xml:space="preserve">Changements majeurs dans </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la vie</w:t>
            </w:r>
          </w:p>
        </w:tc>
      </w:tr>
      <w:tr w:rsidR="00846EA6" w:rsidRPr="001C42D1" w:rsidTr="00DB7E90">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2"/>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Génération Y</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4"/>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Liquidités excédentaires</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lang w:val="fr-CA"/>
              </w:rPr>
              <w:t>Horizon de placement plus court</w:t>
            </w:r>
          </w:p>
        </w:tc>
      </w:tr>
      <w:tr w:rsidR="00846EA6" w:rsidRPr="005158CA" w:rsidTr="00DB7E90">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12"/>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 xml:space="preserve">Horizon de placement à </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long terme</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4"/>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Dette gérable</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 xml:space="preserve">Droits de cotisation non </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utilisés</w:t>
            </w:r>
          </w:p>
        </w:tc>
      </w:tr>
    </w:tbl>
    <w:p w:rsidR="00846EA6" w:rsidRPr="005158CA" w:rsidRDefault="00846EA6" w:rsidP="00846EA6">
      <w:pPr>
        <w:ind w:right="-7"/>
        <w:rPr>
          <w:rFonts w:asciiTheme="majorHAnsi" w:hAnsiTheme="majorHAnsi" w:cstheme="majorHAnsi"/>
          <w:sz w:val="20"/>
          <w:szCs w:val="20"/>
          <w:lang w:val="fr-CA"/>
        </w:rPr>
      </w:pPr>
    </w:p>
    <w:p w:rsidR="005158CA" w:rsidRPr="000F016F" w:rsidRDefault="005158CA" w:rsidP="005158CA">
      <w:pPr>
        <w:ind w:right="-7"/>
        <w:rPr>
          <w:rFonts w:ascii="Arial" w:hAnsi="Arial" w:cs="Arial"/>
          <w:sz w:val="20"/>
          <w:szCs w:val="20"/>
          <w:lang w:val="fr-CA"/>
        </w:rPr>
      </w:pPr>
      <w:r w:rsidRPr="000F016F">
        <w:rPr>
          <w:rFonts w:ascii="Arial" w:hAnsi="Arial" w:cs="Arial"/>
          <w:sz w:val="20"/>
          <w:szCs w:val="20"/>
          <w:lang w:val="fr-CA"/>
        </w:rPr>
        <w:t>B2B Banque offre une solution de prêt qui peut vous aider à bâtir votre patrimoine et à vous constituer une épargne suffisante pour l’avenir :</w:t>
      </w:r>
    </w:p>
    <w:tbl>
      <w:tblPr>
        <w:tblStyle w:val="TableGrid"/>
        <w:tblW w:w="0" w:type="auto"/>
        <w:tblLook w:val="04A0" w:firstRow="1" w:lastRow="0" w:firstColumn="1" w:lastColumn="0" w:noHBand="0" w:noVBand="1"/>
      </w:tblPr>
      <w:tblGrid>
        <w:gridCol w:w="5485"/>
        <w:gridCol w:w="3923"/>
      </w:tblGrid>
      <w:tr w:rsidR="00166FD9" w:rsidRPr="00F9014E" w:rsidTr="005158CA">
        <w:trPr>
          <w:trHeight w:val="964"/>
        </w:trPr>
        <w:tc>
          <w:tcPr>
            <w:tcW w:w="5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Termes souples (1 à 10 ans)</w:t>
            </w:r>
          </w:p>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Options de report de paiement (jusqu’à 180 jours)</w:t>
            </w:r>
            <w:r w:rsidR="000E394C">
              <w:rPr>
                <w:rFonts w:asciiTheme="majorHAnsi" w:hAnsiTheme="majorHAnsi" w:cstheme="majorHAnsi"/>
                <w:sz w:val="20"/>
                <w:szCs w:val="20"/>
                <w:vertAlign w:val="superscript"/>
                <w:lang w:val="fr-CA"/>
              </w:rPr>
              <w:t>1</w:t>
            </w:r>
          </w:p>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 xml:space="preserve">Plusieurs solutions de financement (p. ex. fonds communs de placement ou fonds distincts) </w:t>
            </w:r>
          </w:p>
          <w:p w:rsidR="00166FD9" w:rsidRPr="005158CA" w:rsidRDefault="00166FD9" w:rsidP="005158CA">
            <w:pPr>
              <w:ind w:left="720" w:right="-7"/>
              <w:rPr>
                <w:rFonts w:asciiTheme="majorHAnsi" w:hAnsiTheme="majorHAnsi" w:cstheme="majorHAnsi"/>
                <w:sz w:val="20"/>
                <w:szCs w:val="20"/>
                <w:lang w:val="fr-CA"/>
              </w:rPr>
            </w:pPr>
          </w:p>
        </w:tc>
        <w:tc>
          <w:tcPr>
            <w:tcW w:w="3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Faible montant minimal</w:t>
            </w:r>
          </w:p>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Aucun montant maximal</w:t>
            </w:r>
          </w:p>
          <w:p w:rsidR="00166FD9" w:rsidRPr="00F9014E" w:rsidRDefault="00166FD9" w:rsidP="00304D18">
            <w:pPr>
              <w:rPr>
                <w:rFonts w:asciiTheme="majorHAnsi" w:hAnsiTheme="majorHAnsi" w:cstheme="majorHAnsi"/>
                <w:sz w:val="20"/>
                <w:szCs w:val="20"/>
              </w:rPr>
            </w:pPr>
          </w:p>
        </w:tc>
      </w:tr>
    </w:tbl>
    <w:p w:rsidR="005158CA" w:rsidRDefault="005158CA" w:rsidP="005158CA">
      <w:pPr>
        <w:rPr>
          <w:rFonts w:asciiTheme="majorHAnsi" w:hAnsiTheme="majorHAnsi" w:cstheme="majorHAnsi"/>
          <w:sz w:val="20"/>
          <w:szCs w:val="20"/>
          <w:lang w:val="fr-CA"/>
        </w:rPr>
      </w:pPr>
      <w:bookmarkStart w:id="0" w:name="Text10"/>
      <w:r w:rsidRPr="000F016F">
        <w:rPr>
          <w:rFonts w:asciiTheme="majorHAnsi" w:hAnsiTheme="majorHAnsi" w:cstheme="majorHAnsi"/>
          <w:sz w:val="20"/>
          <w:szCs w:val="20"/>
          <w:lang w:val="fr-CA"/>
        </w:rPr>
        <w:t xml:space="preserve">Prenons rendez-vous pour discuter de la façon dont un prêt REE peut s’inscrire dans votre stratégie financière globale. </w:t>
      </w:r>
    </w:p>
    <w:p w:rsidR="005158CA" w:rsidRPr="000F016F" w:rsidRDefault="005158CA" w:rsidP="005158CA">
      <w:pPr>
        <w:rPr>
          <w:rFonts w:asciiTheme="majorHAnsi" w:hAnsiTheme="majorHAnsi" w:cstheme="majorHAnsi"/>
          <w:sz w:val="20"/>
          <w:szCs w:val="20"/>
          <w:lang w:val="fr-CA"/>
        </w:rPr>
      </w:pPr>
    </w:p>
    <w:bookmarkEnd w:id="0"/>
    <w:p w:rsidR="005158CA" w:rsidRPr="00DB7E90" w:rsidRDefault="005158CA" w:rsidP="005158CA">
      <w:pPr>
        <w:rPr>
          <w:rFonts w:asciiTheme="majorHAnsi" w:hAnsiTheme="majorHAnsi" w:cstheme="majorHAnsi"/>
          <w:sz w:val="20"/>
          <w:szCs w:val="20"/>
          <w:lang w:val="fr-CA"/>
        </w:rPr>
      </w:pPr>
      <w:r w:rsidRPr="00DB7E90">
        <w:rPr>
          <w:rFonts w:asciiTheme="majorHAnsi" w:hAnsiTheme="majorHAnsi" w:cstheme="majorHAnsi"/>
          <w:sz w:val="20"/>
          <w:szCs w:val="20"/>
          <w:lang w:val="fr-CA"/>
        </w:rPr>
        <w:t xml:space="preserve">Cordialement, </w:t>
      </w:r>
    </w:p>
    <w:p w:rsidR="00304D18" w:rsidRPr="00DB7E90" w:rsidRDefault="00304D18" w:rsidP="00304D18">
      <w:pPr>
        <w:ind w:right="-360"/>
        <w:rPr>
          <w:lang w:val="fr-CA" w:eastAsia="en-US"/>
        </w:rPr>
      </w:pPr>
    </w:p>
    <w:p w:rsidR="008B10F8" w:rsidRPr="005158CA" w:rsidRDefault="008B10F8" w:rsidP="002A6031">
      <w:pPr>
        <w:framePr w:w="5730" w:h="1778" w:hSpace="187" w:wrap="notBeside" w:vAnchor="text" w:hAnchor="page" w:x="369" w:y="589"/>
        <w:tabs>
          <w:tab w:val="left" w:pos="450"/>
        </w:tabs>
        <w:ind w:left="360"/>
        <w:rPr>
          <w:rFonts w:asciiTheme="majorHAnsi" w:hAnsiTheme="majorHAnsi" w:cstheme="majorHAnsi"/>
          <w:sz w:val="20"/>
          <w:szCs w:val="20"/>
          <w:lang w:val="fr-CA"/>
        </w:rPr>
      </w:pPr>
      <w:r>
        <w:rPr>
          <w:rFonts w:asciiTheme="majorHAnsi" w:hAnsiTheme="majorHAnsi" w:cstheme="majorHAnsi"/>
          <w:sz w:val="20"/>
          <w:szCs w:val="20"/>
        </w:rPr>
        <w:fldChar w:fldCharType="begin">
          <w:ffData>
            <w:name w:val=""/>
            <w:enabled/>
            <w:calcOnExit w:val="0"/>
            <w:textInput>
              <w:default w:val="[NOM DU CONSEILLER]"/>
              <w:maxLength w:val="50"/>
            </w:textInput>
          </w:ffData>
        </w:fldChar>
      </w:r>
      <w:r w:rsidRPr="005158CA">
        <w:rPr>
          <w:rFonts w:asciiTheme="majorHAnsi" w:hAnsiTheme="majorHAnsi" w:cstheme="majorHAnsi"/>
          <w:sz w:val="20"/>
          <w:szCs w:val="20"/>
          <w:lang w:val="fr-CA"/>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bookmarkStart w:id="1" w:name="_GoBack"/>
      <w:bookmarkEnd w:id="1"/>
      <w:r w:rsidRPr="005158CA">
        <w:rPr>
          <w:rFonts w:asciiTheme="majorHAnsi" w:hAnsiTheme="majorHAnsi" w:cstheme="majorHAnsi"/>
          <w:noProof/>
          <w:sz w:val="20"/>
          <w:szCs w:val="20"/>
          <w:lang w:val="fr-CA"/>
        </w:rPr>
        <w:t>[NOM DU CONSEILLER]</w:t>
      </w:r>
      <w:r>
        <w:rPr>
          <w:rFonts w:asciiTheme="majorHAnsi" w:hAnsiTheme="majorHAnsi" w:cstheme="majorHAnsi"/>
          <w:sz w:val="20"/>
          <w:szCs w:val="20"/>
        </w:rPr>
        <w:fldChar w:fldCharType="end"/>
      </w:r>
    </w:p>
    <w:p w:rsidR="008B10F8" w:rsidRPr="005158CA" w:rsidRDefault="008B10F8" w:rsidP="002A6031">
      <w:pPr>
        <w:framePr w:w="5730" w:h="1778" w:hSpace="187" w:wrap="notBeside" w:vAnchor="text" w:hAnchor="page" w:x="369" w:y="589"/>
        <w:tabs>
          <w:tab w:val="left" w:pos="450"/>
        </w:tabs>
        <w:ind w:left="360"/>
        <w:rPr>
          <w:rFonts w:asciiTheme="majorHAnsi" w:hAnsiTheme="majorHAnsi" w:cstheme="majorHAnsi"/>
          <w:sz w:val="20"/>
          <w:szCs w:val="20"/>
          <w:lang w:val="fr-CA"/>
        </w:rPr>
      </w:pPr>
      <w:r>
        <w:rPr>
          <w:rFonts w:asciiTheme="majorHAnsi" w:hAnsiTheme="majorHAnsi" w:cstheme="majorHAnsi"/>
          <w:sz w:val="20"/>
          <w:szCs w:val="20"/>
        </w:rPr>
        <w:fldChar w:fldCharType="begin">
          <w:ffData>
            <w:name w:val="Text2"/>
            <w:enabled/>
            <w:calcOnExit w:val="0"/>
            <w:textInput>
              <w:default w:val="[TITRE DU CONSEILLER]"/>
              <w:maxLength w:val="50"/>
            </w:textInput>
          </w:ffData>
        </w:fldChar>
      </w:r>
      <w:bookmarkStart w:id="2" w:name="Text2"/>
      <w:r w:rsidRPr="000E394C">
        <w:rPr>
          <w:rFonts w:asciiTheme="majorHAnsi" w:hAnsiTheme="majorHAnsi" w:cstheme="majorHAnsi"/>
          <w:sz w:val="20"/>
          <w:szCs w:val="20"/>
          <w:lang w:val="fr-CA"/>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0E394C">
        <w:rPr>
          <w:rFonts w:asciiTheme="majorHAnsi" w:hAnsiTheme="majorHAnsi" w:cstheme="majorHAnsi"/>
          <w:noProof/>
          <w:sz w:val="20"/>
          <w:szCs w:val="20"/>
          <w:lang w:val="fr-CA"/>
        </w:rPr>
        <w:t>[TITRE DU CONSEILLER]</w:t>
      </w:r>
      <w:r>
        <w:rPr>
          <w:rFonts w:asciiTheme="majorHAnsi" w:hAnsiTheme="majorHAnsi" w:cstheme="majorHAnsi"/>
          <w:sz w:val="20"/>
          <w:szCs w:val="20"/>
        </w:rPr>
        <w:fldChar w:fldCharType="end"/>
      </w:r>
      <w:bookmarkEnd w:id="2"/>
    </w:p>
    <w:p w:rsidR="008B10F8" w:rsidRPr="000E394C" w:rsidRDefault="008B10F8" w:rsidP="002A6031">
      <w:pPr>
        <w:framePr w:w="5730" w:h="1778" w:hSpace="187" w:wrap="notBeside" w:vAnchor="text" w:hAnchor="page" w:x="369" w:y="589"/>
        <w:tabs>
          <w:tab w:val="left" w:pos="450"/>
        </w:tabs>
        <w:ind w:left="360"/>
        <w:rPr>
          <w:rFonts w:asciiTheme="majorHAnsi" w:hAnsiTheme="majorHAnsi" w:cstheme="majorHAnsi"/>
          <w:sz w:val="20"/>
          <w:szCs w:val="20"/>
          <w:lang w:val="fr-CA"/>
        </w:rPr>
      </w:pPr>
      <w:r>
        <w:rPr>
          <w:rFonts w:asciiTheme="majorHAnsi" w:hAnsiTheme="majorHAnsi" w:cstheme="majorHAnsi"/>
          <w:sz w:val="20"/>
          <w:szCs w:val="20"/>
        </w:rPr>
        <w:fldChar w:fldCharType="begin">
          <w:ffData>
            <w:name w:val="Text3"/>
            <w:enabled/>
            <w:calcOnExit w:val="0"/>
            <w:textInput>
              <w:default w:val="[ENTREPRISE DU CONSEILLER]"/>
              <w:maxLength w:val="50"/>
            </w:textInput>
          </w:ffData>
        </w:fldChar>
      </w:r>
      <w:bookmarkStart w:id="3" w:name="Text3"/>
      <w:r w:rsidRPr="000E394C">
        <w:rPr>
          <w:rFonts w:asciiTheme="majorHAnsi" w:hAnsiTheme="majorHAnsi" w:cstheme="majorHAnsi"/>
          <w:sz w:val="20"/>
          <w:szCs w:val="20"/>
          <w:lang w:val="fr-CA"/>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0E394C">
        <w:rPr>
          <w:rFonts w:asciiTheme="majorHAnsi" w:hAnsiTheme="majorHAnsi" w:cstheme="majorHAnsi"/>
          <w:noProof/>
          <w:sz w:val="20"/>
          <w:szCs w:val="20"/>
          <w:lang w:val="fr-CA"/>
        </w:rPr>
        <w:t>[ENTREPRISE DU CONSEILLER]</w:t>
      </w:r>
      <w:r>
        <w:rPr>
          <w:rFonts w:asciiTheme="majorHAnsi" w:hAnsiTheme="majorHAnsi" w:cstheme="majorHAnsi"/>
          <w:sz w:val="20"/>
          <w:szCs w:val="20"/>
        </w:rPr>
        <w:fldChar w:fldCharType="end"/>
      </w:r>
      <w:bookmarkEnd w:id="3"/>
    </w:p>
    <w:p w:rsidR="008B10F8" w:rsidRPr="000E394C" w:rsidRDefault="008B10F8" w:rsidP="002A6031">
      <w:pPr>
        <w:framePr w:w="5730" w:h="1778" w:hSpace="187" w:wrap="notBeside" w:vAnchor="text" w:hAnchor="page" w:x="369" w:y="589"/>
        <w:tabs>
          <w:tab w:val="left" w:pos="450"/>
        </w:tabs>
        <w:ind w:left="360"/>
        <w:rPr>
          <w:rFonts w:asciiTheme="majorHAnsi" w:hAnsiTheme="majorHAnsi" w:cstheme="majorHAnsi"/>
          <w:sz w:val="20"/>
          <w:szCs w:val="20"/>
          <w:lang w:val="fr-CA"/>
        </w:rPr>
      </w:pPr>
      <w:r>
        <w:rPr>
          <w:rFonts w:asciiTheme="majorHAnsi" w:hAnsiTheme="majorHAnsi" w:cstheme="majorHAnsi"/>
          <w:sz w:val="20"/>
          <w:szCs w:val="20"/>
        </w:rPr>
        <w:fldChar w:fldCharType="begin">
          <w:ffData>
            <w:name w:val="Text4"/>
            <w:enabled/>
            <w:calcOnExit w:val="0"/>
            <w:textInput>
              <w:default w:val="[No DE TÉLÉPHONE DU CONSEILLER]"/>
              <w:maxLength w:val="50"/>
            </w:textInput>
          </w:ffData>
        </w:fldChar>
      </w:r>
      <w:bookmarkStart w:id="4" w:name="Text4"/>
      <w:r w:rsidRPr="000E394C">
        <w:rPr>
          <w:rFonts w:asciiTheme="majorHAnsi" w:hAnsiTheme="majorHAnsi" w:cstheme="majorHAnsi"/>
          <w:sz w:val="20"/>
          <w:szCs w:val="20"/>
          <w:lang w:val="fr-CA"/>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0E394C">
        <w:rPr>
          <w:rFonts w:asciiTheme="majorHAnsi" w:hAnsiTheme="majorHAnsi" w:cstheme="majorHAnsi"/>
          <w:noProof/>
          <w:sz w:val="20"/>
          <w:szCs w:val="20"/>
          <w:lang w:val="fr-CA"/>
        </w:rPr>
        <w:t>[No DE TÉLÉPHONE DU CONSEILLER]</w:t>
      </w:r>
      <w:r>
        <w:rPr>
          <w:rFonts w:asciiTheme="majorHAnsi" w:hAnsiTheme="majorHAnsi" w:cstheme="majorHAnsi"/>
          <w:sz w:val="20"/>
          <w:szCs w:val="20"/>
        </w:rPr>
        <w:fldChar w:fldCharType="end"/>
      </w:r>
      <w:bookmarkEnd w:id="4"/>
    </w:p>
    <w:p w:rsidR="008B10F8" w:rsidRPr="000E394C" w:rsidRDefault="008B10F8" w:rsidP="002A6031">
      <w:pPr>
        <w:framePr w:w="5730" w:h="1778" w:hSpace="187" w:wrap="notBeside" w:vAnchor="text" w:hAnchor="page" w:x="369" w:y="589"/>
        <w:tabs>
          <w:tab w:val="left" w:pos="450"/>
        </w:tabs>
        <w:ind w:left="360"/>
        <w:rPr>
          <w:rFonts w:asciiTheme="majorHAnsi" w:hAnsiTheme="majorHAnsi" w:cstheme="majorHAnsi"/>
          <w:sz w:val="20"/>
          <w:szCs w:val="20"/>
          <w:lang w:val="fr-CA"/>
        </w:rPr>
      </w:pPr>
      <w:r>
        <w:rPr>
          <w:rFonts w:asciiTheme="majorHAnsi" w:hAnsiTheme="majorHAnsi" w:cstheme="majorHAnsi"/>
          <w:sz w:val="20"/>
          <w:szCs w:val="20"/>
        </w:rPr>
        <w:fldChar w:fldCharType="begin">
          <w:ffData>
            <w:name w:val="Text5"/>
            <w:enabled/>
            <w:calcOnExit w:val="0"/>
            <w:textInput>
              <w:default w:val="[No DE TÉLÉPHONE CELLULAIRE DU CONSEILLER]"/>
              <w:maxLength w:val="50"/>
            </w:textInput>
          </w:ffData>
        </w:fldChar>
      </w:r>
      <w:bookmarkStart w:id="5" w:name="Text5"/>
      <w:r w:rsidRPr="000E394C">
        <w:rPr>
          <w:rFonts w:asciiTheme="majorHAnsi" w:hAnsiTheme="majorHAnsi" w:cstheme="majorHAnsi"/>
          <w:sz w:val="20"/>
          <w:szCs w:val="20"/>
          <w:lang w:val="fr-CA"/>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0E394C">
        <w:rPr>
          <w:rFonts w:asciiTheme="majorHAnsi" w:hAnsiTheme="majorHAnsi" w:cstheme="majorHAnsi"/>
          <w:noProof/>
          <w:sz w:val="20"/>
          <w:szCs w:val="20"/>
          <w:lang w:val="fr-CA"/>
        </w:rPr>
        <w:t>[No DE TÉLÉPHONE CELLULAIRE DU CONSEILLER]</w:t>
      </w:r>
      <w:r>
        <w:rPr>
          <w:rFonts w:asciiTheme="majorHAnsi" w:hAnsiTheme="majorHAnsi" w:cstheme="majorHAnsi"/>
          <w:sz w:val="20"/>
          <w:szCs w:val="20"/>
        </w:rPr>
        <w:fldChar w:fldCharType="end"/>
      </w:r>
      <w:bookmarkEnd w:id="5"/>
    </w:p>
    <w:p w:rsidR="008B10F8" w:rsidRPr="000E394C" w:rsidRDefault="008B10F8" w:rsidP="002A6031">
      <w:pPr>
        <w:framePr w:w="5730" w:h="1778" w:hSpace="187" w:wrap="notBeside" w:vAnchor="text" w:hAnchor="page" w:x="369" w:y="589"/>
        <w:tabs>
          <w:tab w:val="left" w:pos="450"/>
        </w:tabs>
        <w:ind w:left="360"/>
        <w:rPr>
          <w:rFonts w:asciiTheme="majorHAnsi" w:hAnsiTheme="majorHAnsi" w:cstheme="majorHAnsi"/>
          <w:sz w:val="20"/>
          <w:szCs w:val="20"/>
          <w:lang w:val="fr-CA"/>
        </w:rPr>
      </w:pPr>
      <w:r>
        <w:rPr>
          <w:rFonts w:asciiTheme="majorHAnsi" w:hAnsiTheme="majorHAnsi" w:cstheme="majorHAnsi"/>
          <w:sz w:val="20"/>
          <w:szCs w:val="20"/>
        </w:rPr>
        <w:fldChar w:fldCharType="begin">
          <w:ffData>
            <w:name w:val="Text6"/>
            <w:enabled/>
            <w:calcOnExit w:val="0"/>
            <w:textInput>
              <w:default w:val="[COURRIEL DU CONSEILLER]"/>
              <w:maxLength w:val="50"/>
            </w:textInput>
          </w:ffData>
        </w:fldChar>
      </w:r>
      <w:bookmarkStart w:id="6" w:name="Text6"/>
      <w:r w:rsidRPr="000E394C">
        <w:rPr>
          <w:rFonts w:asciiTheme="majorHAnsi" w:hAnsiTheme="majorHAnsi" w:cstheme="majorHAnsi"/>
          <w:sz w:val="20"/>
          <w:szCs w:val="20"/>
          <w:lang w:val="fr-CA"/>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0E394C">
        <w:rPr>
          <w:rFonts w:asciiTheme="majorHAnsi" w:hAnsiTheme="majorHAnsi" w:cstheme="majorHAnsi"/>
          <w:noProof/>
          <w:sz w:val="20"/>
          <w:szCs w:val="20"/>
          <w:lang w:val="fr-CA"/>
        </w:rPr>
        <w:t>[COURRIEL DU CONSEILLER]</w:t>
      </w:r>
      <w:r>
        <w:rPr>
          <w:rFonts w:asciiTheme="majorHAnsi" w:hAnsiTheme="majorHAnsi" w:cstheme="majorHAnsi"/>
          <w:sz w:val="20"/>
          <w:szCs w:val="20"/>
        </w:rPr>
        <w:fldChar w:fldCharType="end"/>
      </w:r>
      <w:bookmarkEnd w:id="6"/>
    </w:p>
    <w:p w:rsidR="008B10F8" w:rsidRPr="000E394C" w:rsidRDefault="008B10F8" w:rsidP="002A6031">
      <w:pPr>
        <w:framePr w:w="5730" w:h="1778" w:hSpace="187" w:wrap="notBeside" w:vAnchor="text" w:hAnchor="page" w:x="369" w:y="589"/>
        <w:tabs>
          <w:tab w:val="left" w:pos="450"/>
        </w:tabs>
        <w:ind w:left="360"/>
        <w:rPr>
          <w:rFonts w:asciiTheme="majorHAnsi" w:hAnsiTheme="majorHAnsi" w:cstheme="majorHAnsi"/>
          <w:sz w:val="20"/>
          <w:szCs w:val="20"/>
          <w:lang w:val="fr-CA"/>
        </w:rPr>
      </w:pPr>
      <w:r>
        <w:rPr>
          <w:rFonts w:asciiTheme="majorHAnsi" w:hAnsiTheme="majorHAnsi" w:cstheme="majorHAnsi"/>
          <w:sz w:val="20"/>
          <w:szCs w:val="20"/>
        </w:rPr>
        <w:fldChar w:fldCharType="begin">
          <w:ffData>
            <w:name w:val=""/>
            <w:enabled/>
            <w:calcOnExit w:val="0"/>
            <w:textInput>
              <w:default w:val="[AUTRE]"/>
              <w:maxLength w:val="50"/>
            </w:textInput>
          </w:ffData>
        </w:fldChar>
      </w:r>
      <w:r w:rsidRPr="000E394C">
        <w:rPr>
          <w:rFonts w:asciiTheme="majorHAnsi" w:hAnsiTheme="majorHAnsi" w:cstheme="majorHAnsi"/>
          <w:sz w:val="20"/>
          <w:szCs w:val="20"/>
          <w:lang w:val="fr-CA"/>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0E394C">
        <w:rPr>
          <w:rFonts w:asciiTheme="majorHAnsi" w:hAnsiTheme="majorHAnsi" w:cstheme="majorHAnsi"/>
          <w:noProof/>
          <w:sz w:val="20"/>
          <w:szCs w:val="20"/>
          <w:lang w:val="fr-CA"/>
        </w:rPr>
        <w:t>[AUTRE]</w:t>
      </w:r>
      <w:r>
        <w:rPr>
          <w:rFonts w:asciiTheme="majorHAnsi" w:hAnsiTheme="majorHAnsi" w:cstheme="majorHAnsi"/>
          <w:sz w:val="20"/>
          <w:szCs w:val="20"/>
        </w:rPr>
        <w:fldChar w:fldCharType="end"/>
      </w:r>
    </w:p>
    <w:p w:rsidR="008B10F8" w:rsidRPr="000E394C" w:rsidRDefault="008B10F8" w:rsidP="002A6031">
      <w:pPr>
        <w:framePr w:w="5730" w:h="1778" w:hSpace="187" w:wrap="notBeside" w:vAnchor="text" w:hAnchor="page" w:x="369" w:y="589"/>
        <w:tabs>
          <w:tab w:val="left" w:pos="450"/>
        </w:tabs>
        <w:ind w:left="360"/>
        <w:rPr>
          <w:lang w:val="fr-CA"/>
        </w:rPr>
      </w:pPr>
      <w:r>
        <w:fldChar w:fldCharType="begin">
          <w:ffData>
            <w:name w:val="Text7"/>
            <w:enabled/>
            <w:calcOnExit w:val="0"/>
            <w:textInput>
              <w:default w:val="[AUTRE]"/>
              <w:maxLength w:val="50"/>
            </w:textInput>
          </w:ffData>
        </w:fldChar>
      </w:r>
      <w:bookmarkStart w:id="7" w:name="Text7"/>
      <w:r w:rsidRPr="000E394C">
        <w:rPr>
          <w:lang w:val="fr-CA"/>
        </w:rPr>
        <w:instrText xml:space="preserve"> FORMTEXT </w:instrText>
      </w:r>
      <w:r>
        <w:fldChar w:fldCharType="separate"/>
      </w:r>
      <w:r w:rsidRPr="000E394C">
        <w:rPr>
          <w:noProof/>
          <w:lang w:val="fr-CA"/>
        </w:rPr>
        <w:t>[AUTRE]</w:t>
      </w:r>
      <w:r>
        <w:fldChar w:fldCharType="end"/>
      </w:r>
      <w:bookmarkEnd w:id="7"/>
    </w:p>
    <w:p w:rsidR="00304D18" w:rsidRDefault="00304D18" w:rsidP="00304D18">
      <w:pPr>
        <w:rPr>
          <w:lang w:val="fr-CA" w:eastAsia="en-US"/>
        </w:rPr>
      </w:pPr>
    </w:p>
    <w:p w:rsidR="002A6031" w:rsidRPr="008B10F8" w:rsidRDefault="002A6031" w:rsidP="00304D18">
      <w:pPr>
        <w:rPr>
          <w:lang w:val="fr-CA" w:eastAsia="en-US"/>
        </w:rPr>
      </w:pPr>
    </w:p>
    <w:p w:rsidR="00304D18" w:rsidRPr="008B10F8" w:rsidRDefault="00304D18" w:rsidP="00304D18">
      <w:pPr>
        <w:rPr>
          <w:lang w:val="fr-CA" w:eastAsia="en-US"/>
        </w:rPr>
      </w:pPr>
    </w:p>
    <w:p w:rsidR="000E394C" w:rsidRPr="000E394C" w:rsidRDefault="000E394C" w:rsidP="000E394C">
      <w:pPr>
        <w:rPr>
          <w:rFonts w:asciiTheme="majorHAnsi" w:hAnsiTheme="majorHAnsi" w:cstheme="majorHAnsi"/>
          <w:sz w:val="16"/>
          <w:szCs w:val="16"/>
          <w:lang w:val="fr-CA"/>
        </w:rPr>
      </w:pPr>
      <w:r w:rsidRPr="00776F4F">
        <w:rPr>
          <w:rFonts w:asciiTheme="majorHAnsi" w:hAnsiTheme="majorHAnsi" w:cstheme="majorHAnsi"/>
          <w:sz w:val="16"/>
          <w:szCs w:val="16"/>
          <w:lang w:val="fr-CA"/>
        </w:rPr>
        <w:t xml:space="preserve">1. Les clients peuvent reporter leur premier paiement jusqu’à concurrence de 180 jours pour tous les prêts REE de B2B Banque. Si l'option de report de paiement est choisie, le premier versement doit être fait à la première date de versement qui suit la fin de la période de report. Les intérêts courent à partir de la date du financement, et la durée du prêt est prolongée du même nombre de jours que la durée du report. </w:t>
      </w:r>
      <w:r w:rsidR="00776F4F" w:rsidRPr="00776F4F">
        <w:rPr>
          <w:rFonts w:asciiTheme="majorHAnsi" w:hAnsiTheme="majorHAnsi" w:cstheme="majorHAnsi"/>
          <w:sz w:val="16"/>
          <w:szCs w:val="16"/>
          <w:lang w:val="fr-CA"/>
        </w:rPr>
        <w:t xml:space="preserve">Les cotisations à un REER ne peuvent pas être déduites du revenu dans toutes les circonstances. Pour plus de renseignements, veuillez consulter un fiscaliste qualifié. </w:t>
      </w:r>
      <w:r w:rsidRPr="00776F4F">
        <w:rPr>
          <w:rFonts w:asciiTheme="majorHAnsi" w:hAnsiTheme="majorHAnsi" w:cstheme="majorHAnsi"/>
          <w:sz w:val="16"/>
          <w:szCs w:val="16"/>
          <w:lang w:val="fr-CA"/>
        </w:rPr>
        <w:t>B2B Banque n’offre aucun conseil de placement aux particuliers. Il incombe aux courtiers et aux conseillers, et non à B2B Banque, de déterminer si les placements conviennent à leurs clients et d'informer ces derniers des risques associés au recours à l’emprunt pour effectuer des placements. Le programme de prêts REE de B2B Banque est offert exclusivement par l’entremise de conseillers financiers agréés. B2B Banque agit seulement à titre de prêteur et d’administrateur de comptes de prêt. L’octroi d’un prêt par B2B Banque ne signifie aucunement qu’elle appuie quelque choix, programme ou stratégie de placement que ce soit. Tous les prêts REE font l’objet d’une approbation de crédit, et le montant emprunté doit être remboursé quel que soit le rendement des placements achetés. ®B2B BANQUE est une marque déposée de B2B Banque.</w:t>
      </w:r>
    </w:p>
    <w:p w:rsidR="000E394C" w:rsidRDefault="000E394C" w:rsidP="0069755F">
      <w:pPr>
        <w:rPr>
          <w:rFonts w:asciiTheme="majorHAnsi" w:hAnsiTheme="majorHAnsi" w:cstheme="majorHAnsi"/>
          <w:sz w:val="16"/>
          <w:szCs w:val="16"/>
          <w:lang w:val="en-US"/>
        </w:rPr>
      </w:pPr>
    </w:p>
    <w:sectPr w:rsidR="000E394C" w:rsidSect="008B10F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D3" w:rsidRDefault="002B6ED3" w:rsidP="00166FD9">
      <w:r>
        <w:separator/>
      </w:r>
    </w:p>
  </w:endnote>
  <w:endnote w:type="continuationSeparator" w:id="0">
    <w:p w:rsidR="002B6ED3" w:rsidRDefault="002B6ED3" w:rsidP="0016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D3" w:rsidRDefault="002B6ED3" w:rsidP="00166FD9">
      <w:r>
        <w:separator/>
      </w:r>
    </w:p>
  </w:footnote>
  <w:footnote w:type="continuationSeparator" w:id="0">
    <w:p w:rsidR="002B6ED3" w:rsidRDefault="002B6ED3" w:rsidP="0016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D3D"/>
    <w:multiLevelType w:val="hybridMultilevel"/>
    <w:tmpl w:val="0C1CDA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EF3C74"/>
    <w:multiLevelType w:val="hybridMultilevel"/>
    <w:tmpl w:val="D9E6DA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534DD7"/>
    <w:multiLevelType w:val="hybridMultilevel"/>
    <w:tmpl w:val="C78A7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5C5EF3"/>
    <w:multiLevelType w:val="hybridMultilevel"/>
    <w:tmpl w:val="B6B8329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AAE0310"/>
    <w:multiLevelType w:val="hybridMultilevel"/>
    <w:tmpl w:val="5032143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E0E62CC"/>
    <w:multiLevelType w:val="hybridMultilevel"/>
    <w:tmpl w:val="06DC70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7B10959"/>
    <w:multiLevelType w:val="hybridMultilevel"/>
    <w:tmpl w:val="9C5AA050"/>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9F16964"/>
    <w:multiLevelType w:val="hybridMultilevel"/>
    <w:tmpl w:val="9580D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99732C"/>
    <w:multiLevelType w:val="hybridMultilevel"/>
    <w:tmpl w:val="83E68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18236C2"/>
    <w:multiLevelType w:val="hybridMultilevel"/>
    <w:tmpl w:val="EB90AB66"/>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2DD211A"/>
    <w:multiLevelType w:val="hybridMultilevel"/>
    <w:tmpl w:val="405C5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EFA609C"/>
    <w:multiLevelType w:val="hybridMultilevel"/>
    <w:tmpl w:val="1040C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27E433E"/>
    <w:multiLevelType w:val="hybridMultilevel"/>
    <w:tmpl w:val="B87874C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777201"/>
    <w:multiLevelType w:val="hybridMultilevel"/>
    <w:tmpl w:val="D01682D6"/>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4D1580F"/>
    <w:multiLevelType w:val="hybridMultilevel"/>
    <w:tmpl w:val="FE0E15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4"/>
  </w:num>
  <w:num w:numId="4">
    <w:abstractNumId w:val="0"/>
  </w:num>
  <w:num w:numId="5">
    <w:abstractNumId w:val="11"/>
  </w:num>
  <w:num w:numId="6">
    <w:abstractNumId w:val="2"/>
  </w:num>
  <w:num w:numId="7">
    <w:abstractNumId w:val="10"/>
  </w:num>
  <w:num w:numId="8">
    <w:abstractNumId w:val="5"/>
  </w:num>
  <w:num w:numId="9">
    <w:abstractNumId w:val="4"/>
  </w:num>
  <w:num w:numId="10">
    <w:abstractNumId w:val="13"/>
  </w:num>
  <w:num w:numId="11">
    <w:abstractNumId w:val="3"/>
  </w:num>
  <w:num w:numId="12">
    <w:abstractNumId w:val="6"/>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2" w:cryptSpinCount="1000000" w:hash="K/5kcFDOb3U3/J7+lYJOD3iHFXq8tCAzYbhV0zYrXSc=" w:salt="vTvGRA8ZgaXZ1KDkAU2r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79"/>
    <w:rsid w:val="000E394C"/>
    <w:rsid w:val="000E39CF"/>
    <w:rsid w:val="000E52F9"/>
    <w:rsid w:val="001415AD"/>
    <w:rsid w:val="00163F73"/>
    <w:rsid w:val="00166FC4"/>
    <w:rsid w:val="00166FD9"/>
    <w:rsid w:val="001C0343"/>
    <w:rsid w:val="001C42D1"/>
    <w:rsid w:val="001C505B"/>
    <w:rsid w:val="001D4597"/>
    <w:rsid w:val="0028316F"/>
    <w:rsid w:val="002A6031"/>
    <w:rsid w:val="002B6ED3"/>
    <w:rsid w:val="002D3B6D"/>
    <w:rsid w:val="002E4342"/>
    <w:rsid w:val="00304D18"/>
    <w:rsid w:val="003D461C"/>
    <w:rsid w:val="00467F0E"/>
    <w:rsid w:val="0047586A"/>
    <w:rsid w:val="00495955"/>
    <w:rsid w:val="004B0B87"/>
    <w:rsid w:val="005158CA"/>
    <w:rsid w:val="005574CD"/>
    <w:rsid w:val="005A6230"/>
    <w:rsid w:val="00632DB1"/>
    <w:rsid w:val="006651B4"/>
    <w:rsid w:val="0069755F"/>
    <w:rsid w:val="006D4850"/>
    <w:rsid w:val="006F070F"/>
    <w:rsid w:val="00713966"/>
    <w:rsid w:val="00766247"/>
    <w:rsid w:val="00776F4F"/>
    <w:rsid w:val="007D33E9"/>
    <w:rsid w:val="007F558D"/>
    <w:rsid w:val="00802F5F"/>
    <w:rsid w:val="00815538"/>
    <w:rsid w:val="00846EA6"/>
    <w:rsid w:val="008B10F8"/>
    <w:rsid w:val="009160CA"/>
    <w:rsid w:val="00937110"/>
    <w:rsid w:val="00956E16"/>
    <w:rsid w:val="00A2532B"/>
    <w:rsid w:val="00A64B79"/>
    <w:rsid w:val="00A6659F"/>
    <w:rsid w:val="00A93F7A"/>
    <w:rsid w:val="00B10125"/>
    <w:rsid w:val="00B301A4"/>
    <w:rsid w:val="00BB494C"/>
    <w:rsid w:val="00BC5E4D"/>
    <w:rsid w:val="00BE6B47"/>
    <w:rsid w:val="00C15F7C"/>
    <w:rsid w:val="00CB3D85"/>
    <w:rsid w:val="00CC61BD"/>
    <w:rsid w:val="00D75C2E"/>
    <w:rsid w:val="00DA0EB6"/>
    <w:rsid w:val="00DB7E90"/>
    <w:rsid w:val="00DD5C5A"/>
    <w:rsid w:val="00EE06A2"/>
    <w:rsid w:val="00EE527F"/>
    <w:rsid w:val="00EE5C6D"/>
    <w:rsid w:val="00F03F48"/>
    <w:rsid w:val="00F23BD1"/>
    <w:rsid w:val="00F32961"/>
    <w:rsid w:val="00F901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E031-F5F7-47C2-BC2C-0808E20A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4B79"/>
    <w:pPr>
      <w:spacing w:after="0" w:line="240" w:lineRule="auto"/>
    </w:pPr>
    <w:rPr>
      <w:rFonts w:ascii="Calibri" w:eastAsia="Times New Roman"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18"/>
    <w:pPr>
      <w:ind w:left="720"/>
      <w:contextualSpacing/>
    </w:pPr>
  </w:style>
  <w:style w:type="table" w:styleId="TableGrid">
    <w:name w:val="Table Grid"/>
    <w:basedOn w:val="TableNormal"/>
    <w:uiPriority w:val="59"/>
    <w:rsid w:val="00CB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4D"/>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166FD9"/>
    <w:pPr>
      <w:tabs>
        <w:tab w:val="center" w:pos="4680"/>
        <w:tab w:val="right" w:pos="9360"/>
      </w:tabs>
    </w:pPr>
  </w:style>
  <w:style w:type="character" w:customStyle="1" w:styleId="HeaderChar">
    <w:name w:val="Header Char"/>
    <w:basedOn w:val="DefaultParagraphFont"/>
    <w:link w:val="Header"/>
    <w:uiPriority w:val="99"/>
    <w:rsid w:val="00166FD9"/>
    <w:rPr>
      <w:rFonts w:ascii="Calibri" w:eastAsia="Times New Roman" w:hAnsi="Calibri" w:cs="Calibri"/>
      <w:lang w:val="en-CA" w:eastAsia="en-CA"/>
    </w:rPr>
  </w:style>
  <w:style w:type="paragraph" w:styleId="Footer">
    <w:name w:val="footer"/>
    <w:basedOn w:val="Normal"/>
    <w:link w:val="FooterChar"/>
    <w:uiPriority w:val="99"/>
    <w:unhideWhenUsed/>
    <w:rsid w:val="00166FD9"/>
    <w:pPr>
      <w:tabs>
        <w:tab w:val="center" w:pos="4680"/>
        <w:tab w:val="right" w:pos="9360"/>
      </w:tabs>
    </w:pPr>
  </w:style>
  <w:style w:type="character" w:customStyle="1" w:styleId="FooterChar">
    <w:name w:val="Footer Char"/>
    <w:basedOn w:val="DefaultParagraphFont"/>
    <w:link w:val="Footer"/>
    <w:uiPriority w:val="99"/>
    <w:rsid w:val="00166FD9"/>
    <w:rPr>
      <w:rFonts w:ascii="Calibri" w:eastAsia="Times New Roman"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C">
      <a:dk1>
        <a:sysClr val="windowText" lastClr="000000"/>
      </a:dk1>
      <a:lt1>
        <a:sysClr val="window" lastClr="FFFFFF"/>
      </a:lt1>
      <a:dk2>
        <a:srgbClr val="004070"/>
      </a:dk2>
      <a:lt2>
        <a:srgbClr val="EEECE1"/>
      </a:lt2>
      <a:accent1>
        <a:srgbClr val="4F81BD"/>
      </a:accent1>
      <a:accent2>
        <a:srgbClr val="C0504D"/>
      </a:accent2>
      <a:accent3>
        <a:srgbClr val="9BBB59"/>
      </a:accent3>
      <a:accent4>
        <a:srgbClr val="8064A2"/>
      </a:accent4>
      <a:accent5>
        <a:srgbClr val="4BACC6"/>
      </a:accent5>
      <a:accent6>
        <a:srgbClr val="FDB812"/>
      </a:accent6>
      <a:hlink>
        <a:srgbClr val="0000FF"/>
      </a:hlink>
      <a:folHlink>
        <a:srgbClr val="800080"/>
      </a:folHlink>
    </a:clrScheme>
    <a:fontScheme name="BL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Danielle</dc:creator>
  <cp:keywords/>
  <dc:description/>
  <cp:lastModifiedBy>Vas Danielle</cp:lastModifiedBy>
  <cp:revision>18</cp:revision>
  <cp:lastPrinted>2017-12-21T14:13:00Z</cp:lastPrinted>
  <dcterms:created xsi:type="dcterms:W3CDTF">2018-01-02T17:37:00Z</dcterms:created>
  <dcterms:modified xsi:type="dcterms:W3CDTF">2018-01-11T21:27:00Z</dcterms:modified>
</cp:coreProperties>
</file>